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rsidTr="0090536B">
        <w:trPr>
          <w:trHeight w:val="533"/>
        </w:trPr>
        <w:tc>
          <w:tcPr>
            <w:tcW w:w="8568" w:type="dxa"/>
            <w:tcBorders>
              <w:bottom w:val="single" w:sz="4" w:space="0" w:color="000000"/>
            </w:tcBorders>
            <w:shd w:val="clear" w:color="auto" w:fill="DBE5F1" w:themeFill="accent1" w:themeFillTint="33"/>
            <w:vAlign w:val="center"/>
          </w:tcPr>
          <w:p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rsidR="00305D11" w:rsidRPr="00E72307" w:rsidRDefault="00305D11" w:rsidP="0090536B">
            <w:pPr>
              <w:keepNext/>
              <w:keepLines/>
              <w:tabs>
                <w:tab w:val="left" w:pos="6024"/>
                <w:tab w:val="left" w:pos="7159"/>
              </w:tabs>
              <w:autoSpaceDE w:val="0"/>
              <w:autoSpaceDN w:val="0"/>
              <w:adjustRightInd w:val="0"/>
              <w:jc w:val="center"/>
              <w:rPr>
                <w:rFonts w:cs="Arial"/>
                <w:b/>
                <w:sz w:val="20"/>
                <w:szCs w:val="20"/>
              </w:rPr>
            </w:pPr>
            <w:r w:rsidRPr="00E72307">
              <w:rPr>
                <w:rFonts w:cs="Arial"/>
                <w:b/>
                <w:sz w:val="20"/>
                <w:szCs w:val="20"/>
              </w:rPr>
              <w:t>Result</w:t>
            </w:r>
            <w:r>
              <w:rPr>
                <w:rFonts w:cs="Arial"/>
                <w:b/>
                <w:sz w:val="20"/>
                <w:szCs w:val="20"/>
              </w:rPr>
              <w:t>s as of</w:t>
            </w:r>
            <w:r w:rsidR="002733B9">
              <w:rPr>
                <w:rFonts w:cs="Arial"/>
                <w:b/>
                <w:sz w:val="20"/>
                <w:szCs w:val="20"/>
              </w:rPr>
              <w:t xml:space="preserve"> </w:t>
            </w:r>
            <w:r w:rsidR="0090536B">
              <w:rPr>
                <w:rFonts w:cs="Arial"/>
                <w:b/>
                <w:sz w:val="20"/>
                <w:szCs w:val="20"/>
              </w:rPr>
              <w:t>2016-17</w:t>
            </w:r>
          </w:p>
        </w:tc>
      </w:tr>
      <w:tr w:rsidR="00305D11" w:rsidRPr="00E72307" w:rsidTr="000032F8">
        <w:trPr>
          <w:trHeight w:val="659"/>
        </w:trPr>
        <w:tc>
          <w:tcPr>
            <w:tcW w:w="9738" w:type="dxa"/>
            <w:gridSpan w:val="2"/>
            <w:tcBorders>
              <w:bottom w:val="single" w:sz="4" w:space="0" w:color="000000"/>
            </w:tcBorders>
            <w:shd w:val="clear" w:color="auto" w:fill="auto"/>
            <w:vAlign w:val="center"/>
          </w:tcPr>
          <w:p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rsidTr="0090536B">
        <w:trPr>
          <w:trHeight w:val="443"/>
        </w:trPr>
        <w:tc>
          <w:tcPr>
            <w:tcW w:w="8568" w:type="dxa"/>
            <w:tcBorders>
              <w:top w:val="single" w:sz="4" w:space="0" w:color="000000"/>
              <w:bottom w:val="single" w:sz="4" w:space="0" w:color="auto"/>
            </w:tcBorders>
            <w:shd w:val="clear" w:color="auto" w:fill="auto"/>
            <w:vAlign w:val="center"/>
          </w:tcPr>
          <w:p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rsidR="00305D11" w:rsidRPr="00E72307" w:rsidRDefault="00C83E81"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37</w:t>
            </w:r>
          </w:p>
        </w:tc>
      </w:tr>
      <w:tr w:rsidR="00D011D2" w:rsidRPr="00E72307" w:rsidTr="0090536B">
        <w:trPr>
          <w:trHeight w:val="443"/>
        </w:trPr>
        <w:tc>
          <w:tcPr>
            <w:tcW w:w="8568" w:type="dxa"/>
            <w:tcBorders>
              <w:top w:val="single" w:sz="4" w:space="0" w:color="000000"/>
              <w:bottom w:val="single" w:sz="4" w:space="0" w:color="auto"/>
            </w:tcBorders>
            <w:shd w:val="clear" w:color="auto" w:fill="auto"/>
            <w:vAlign w:val="center"/>
          </w:tcPr>
          <w:p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Total number of local and regionally-based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rsidR="00D011D2" w:rsidRPr="00E72307" w:rsidRDefault="00C83E81"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5</w:t>
            </w:r>
          </w:p>
        </w:tc>
      </w:tr>
      <w:tr w:rsidR="003E2596" w:rsidRPr="00E72307" w:rsidTr="0090536B">
        <w:trPr>
          <w:trHeight w:val="463"/>
        </w:trPr>
        <w:tc>
          <w:tcPr>
            <w:tcW w:w="8568" w:type="dxa"/>
            <w:tcBorders>
              <w:top w:val="single" w:sz="4" w:space="0" w:color="auto"/>
            </w:tcBorders>
            <w:shd w:val="clear" w:color="auto" w:fill="auto"/>
            <w:vAlign w:val="center"/>
          </w:tcPr>
          <w:p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rsidTr="0090536B">
        <w:trPr>
          <w:trHeight w:val="463"/>
        </w:trPr>
        <w:tc>
          <w:tcPr>
            <w:tcW w:w="8568" w:type="dxa"/>
            <w:shd w:val="clear" w:color="auto" w:fill="auto"/>
            <w:vAlign w:val="center"/>
          </w:tcPr>
          <w:p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rsidR="003E2596" w:rsidRPr="00E72307" w:rsidRDefault="00C83E81"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17</w:t>
            </w:r>
          </w:p>
        </w:tc>
      </w:tr>
      <w:tr w:rsidR="003E2596" w:rsidRPr="00E72307" w:rsidTr="0090536B">
        <w:trPr>
          <w:trHeight w:val="463"/>
        </w:trPr>
        <w:tc>
          <w:tcPr>
            <w:tcW w:w="8568" w:type="dxa"/>
            <w:shd w:val="clear" w:color="auto" w:fill="auto"/>
            <w:vAlign w:val="center"/>
          </w:tcPr>
          <w:p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rsidR="003E2596" w:rsidRPr="00E72307" w:rsidRDefault="00C83E81"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585</w:t>
            </w:r>
          </w:p>
        </w:tc>
      </w:tr>
      <w:tr w:rsidR="003E2596" w:rsidRPr="00E72307" w:rsidTr="0090536B">
        <w:trPr>
          <w:trHeight w:val="463"/>
        </w:trPr>
        <w:tc>
          <w:tcPr>
            <w:tcW w:w="8568" w:type="dxa"/>
            <w:shd w:val="clear" w:color="auto" w:fill="auto"/>
            <w:vAlign w:val="center"/>
          </w:tcPr>
          <w:p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rsidTr="0090536B">
        <w:trPr>
          <w:trHeight w:val="355"/>
        </w:trPr>
        <w:tc>
          <w:tcPr>
            <w:tcW w:w="8568" w:type="dxa"/>
            <w:shd w:val="clear" w:color="auto" w:fill="auto"/>
            <w:vAlign w:val="center"/>
          </w:tcPr>
          <w:p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rsidR="00BE6567" w:rsidRPr="00E72307" w:rsidRDefault="00C83E81"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2,792,066</w:t>
            </w:r>
          </w:p>
        </w:tc>
      </w:tr>
      <w:tr w:rsidR="004E0068" w:rsidRPr="00E72307" w:rsidTr="0090536B">
        <w:trPr>
          <w:trHeight w:val="355"/>
        </w:trPr>
        <w:tc>
          <w:tcPr>
            <w:tcW w:w="8568" w:type="dxa"/>
            <w:shd w:val="clear" w:color="auto" w:fill="auto"/>
            <w:vAlign w:val="center"/>
          </w:tcPr>
          <w:p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rsidR="004E0068" w:rsidRPr="00E72307" w:rsidRDefault="00C83E81"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37</w:t>
            </w:r>
          </w:p>
        </w:tc>
      </w:tr>
      <w:tr w:rsidR="003E2596" w:rsidRPr="00E72307" w:rsidTr="0090536B">
        <w:trPr>
          <w:trHeight w:val="355"/>
        </w:trPr>
        <w:tc>
          <w:tcPr>
            <w:tcW w:w="8568" w:type="dxa"/>
            <w:shd w:val="clear" w:color="auto" w:fill="auto"/>
            <w:vAlign w:val="center"/>
          </w:tcPr>
          <w:p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rsidR="003E2596" w:rsidRPr="00E72307" w:rsidRDefault="00C83E81"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130.5</w:t>
            </w:r>
          </w:p>
        </w:tc>
      </w:tr>
      <w:tr w:rsidR="003E2596" w:rsidRPr="00E72307" w:rsidTr="000032F8">
        <w:trPr>
          <w:trHeight w:val="562"/>
        </w:trPr>
        <w:tc>
          <w:tcPr>
            <w:tcW w:w="9738" w:type="dxa"/>
            <w:gridSpan w:val="2"/>
            <w:shd w:val="clear" w:color="auto" w:fill="auto"/>
            <w:vAlign w:val="center"/>
          </w:tcPr>
          <w:p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rsidTr="000032F8">
        <w:tc>
          <w:tcPr>
            <w:tcW w:w="9738" w:type="dxa"/>
          </w:tcPr>
          <w:p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(e.g. Success stories, </w:t>
            </w:r>
            <w:r w:rsidR="00E514E4">
              <w:rPr>
                <w:rFonts w:cs="Arial"/>
                <w:sz w:val="20"/>
                <w:szCs w:val="20"/>
              </w:rPr>
              <w:t xml:space="preserve">Links to priorities, </w:t>
            </w:r>
            <w:r w:rsidRPr="00B86B60">
              <w:rPr>
                <w:rFonts w:cs="Arial"/>
                <w:sz w:val="20"/>
                <w:szCs w:val="20"/>
              </w:rPr>
              <w:t>leveraging work, communication events, etc…)</w:t>
            </w:r>
            <w:r w:rsidR="000032F8">
              <w:rPr>
                <w:rFonts w:cs="Arial"/>
                <w:sz w:val="20"/>
                <w:szCs w:val="20"/>
              </w:rPr>
              <w:t xml:space="preserve"> </w:t>
            </w:r>
            <w:r w:rsidR="000032F8">
              <w:rPr>
                <w:rFonts w:cs="Arial"/>
                <w:sz w:val="20"/>
                <w:szCs w:val="20"/>
              </w:rPr>
              <w:br/>
            </w:r>
          </w:p>
        </w:tc>
      </w:tr>
      <w:tr w:rsidR="00F609C9" w:rsidTr="000032F8">
        <w:tc>
          <w:tcPr>
            <w:tcW w:w="9738" w:type="dxa"/>
          </w:tcPr>
          <w:p w:rsidR="00F105C2" w:rsidRPr="00C83E81" w:rsidRDefault="00C83E81" w:rsidP="00C83E81">
            <w:pPr>
              <w:spacing w:before="240"/>
              <w:rPr>
                <w:rFonts w:cs="Arial"/>
                <w:sz w:val="20"/>
                <w:szCs w:val="20"/>
                <w:lang w:val="en-US"/>
              </w:rPr>
            </w:pPr>
            <w:r w:rsidRPr="00C83E81">
              <w:rPr>
                <w:rFonts w:cs="Arial"/>
                <w:sz w:val="20"/>
                <w:szCs w:val="20"/>
                <w:lang w:val="en-US"/>
              </w:rPr>
              <w:t xml:space="preserve">Community Futures Grande Prairie &amp; Region remains committed to ensuring that the region’s entrepreneurs </w:t>
            </w:r>
            <w:proofErr w:type="gramStart"/>
            <w:r w:rsidRPr="00C83E81">
              <w:rPr>
                <w:rFonts w:cs="Arial"/>
                <w:sz w:val="20"/>
                <w:szCs w:val="20"/>
                <w:lang w:val="en-US"/>
              </w:rPr>
              <w:t>are able to</w:t>
            </w:r>
            <w:proofErr w:type="gramEnd"/>
            <w:r w:rsidRPr="00C83E81">
              <w:rPr>
                <w:rFonts w:cs="Arial"/>
                <w:sz w:val="20"/>
                <w:szCs w:val="20"/>
                <w:lang w:val="en-US"/>
              </w:rPr>
              <w:t xml:space="preserve"> access the business services and business financing needed to move their businesses forward. Access to capital is the biggest challenge we have </w:t>
            </w:r>
            <w:proofErr w:type="gramStart"/>
            <w:r w:rsidRPr="00C83E81">
              <w:rPr>
                <w:rFonts w:cs="Arial"/>
                <w:sz w:val="20"/>
                <w:szCs w:val="20"/>
                <w:lang w:val="en-US"/>
              </w:rPr>
              <w:t>at the moment</w:t>
            </w:r>
            <w:proofErr w:type="gramEnd"/>
            <w:r w:rsidRPr="00C83E81">
              <w:rPr>
                <w:rFonts w:cs="Arial"/>
                <w:sz w:val="20"/>
                <w:szCs w:val="20"/>
                <w:lang w:val="en-US"/>
              </w:rPr>
              <w:t xml:space="preserve">, both operationally and for investment. We have embarked on the development of a local Opportunity Development Fund to provide additional investment capital for business financing.  We have also </w:t>
            </w:r>
            <w:proofErr w:type="gramStart"/>
            <w:r w:rsidRPr="00C83E81">
              <w:rPr>
                <w:rFonts w:cs="Arial"/>
                <w:sz w:val="20"/>
                <w:szCs w:val="20"/>
                <w:lang w:val="en-US"/>
              </w:rPr>
              <w:t>entered into discussions</w:t>
            </w:r>
            <w:proofErr w:type="gramEnd"/>
            <w:r w:rsidRPr="00C83E81">
              <w:rPr>
                <w:rFonts w:cs="Arial"/>
                <w:sz w:val="20"/>
                <w:szCs w:val="20"/>
                <w:lang w:val="en-US"/>
              </w:rPr>
              <w:t xml:space="preserve"> with the provincial government about the possibilities available to us to work with them in managing a similar fund, providing an additional source of capital to entrepreneurs that do not currently</w:t>
            </w:r>
            <w:r>
              <w:rPr>
                <w:rFonts w:cs="Arial"/>
                <w:sz w:val="20"/>
                <w:szCs w:val="20"/>
                <w:lang w:val="en-US"/>
              </w:rPr>
              <w:t xml:space="preserve"> fit their funding criteria.  We</w:t>
            </w:r>
            <w:r w:rsidRPr="00C83E81">
              <w:rPr>
                <w:rFonts w:cs="Arial"/>
                <w:sz w:val="20"/>
                <w:szCs w:val="20"/>
                <w:lang w:val="en-US"/>
              </w:rPr>
              <w:t xml:space="preserve"> are also working with BDC to identify opportunities to work together, perhaps setting up a BDC fund for CF and/or looking at the existing CFGP portfolio and “selling” performing loans to BDC, to free up cash flow </w:t>
            </w:r>
            <w:r>
              <w:rPr>
                <w:rFonts w:cs="Arial"/>
                <w:sz w:val="20"/>
                <w:szCs w:val="20"/>
                <w:lang w:val="en-US"/>
              </w:rPr>
              <w:t>for current and future requests.</w:t>
            </w:r>
          </w:p>
          <w:p w:rsidR="00F105C2" w:rsidRDefault="00F105C2" w:rsidP="00164DFE">
            <w:pPr>
              <w:spacing w:before="240"/>
              <w:rPr>
                <w:rFonts w:cs="Arial"/>
                <w:sz w:val="20"/>
                <w:szCs w:val="20"/>
              </w:rPr>
            </w:pPr>
            <w:bookmarkStart w:id="0" w:name="_GoBack"/>
            <w:bookmarkEnd w:id="0"/>
          </w:p>
          <w:p w:rsidR="00F609C9" w:rsidRDefault="00F609C9" w:rsidP="00164DFE">
            <w:pPr>
              <w:spacing w:before="240"/>
              <w:rPr>
                <w:rFonts w:cs="Arial"/>
                <w:sz w:val="20"/>
                <w:szCs w:val="20"/>
              </w:rPr>
            </w:pPr>
          </w:p>
        </w:tc>
      </w:tr>
    </w:tbl>
    <w:p w:rsidR="00F105C2" w:rsidRDefault="00F105C2" w:rsidP="00C83E81">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673" w:rsidRDefault="00EA5673" w:rsidP="00CC123A">
      <w:pPr>
        <w:spacing w:after="0" w:line="240" w:lineRule="auto"/>
      </w:pPr>
      <w:r>
        <w:separator/>
      </w:r>
    </w:p>
  </w:endnote>
  <w:endnote w:type="continuationSeparator" w:id="0">
    <w:p w:rsidR="00EA5673" w:rsidRDefault="00EA5673"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673" w:rsidRDefault="00EA5673" w:rsidP="00CC123A">
      <w:pPr>
        <w:spacing w:after="0" w:line="240" w:lineRule="auto"/>
      </w:pPr>
      <w:r>
        <w:separator/>
      </w:r>
    </w:p>
  </w:footnote>
  <w:footnote w:type="continuationSeparator" w:id="0">
    <w:p w:rsidR="00EA5673" w:rsidRDefault="00EA5673" w:rsidP="00CC123A">
      <w:pPr>
        <w:spacing w:after="0" w:line="240" w:lineRule="auto"/>
      </w:pPr>
      <w:r>
        <w:continuationSeparator/>
      </w:r>
    </w:p>
  </w:footnote>
  <w:footnote w:id="1">
    <w:p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201</w:t>
    </w:r>
    <w:r w:rsidR="00BD0981">
      <w:t>6</w:t>
    </w:r>
    <w:r>
      <w:t>-1</w:t>
    </w:r>
    <w:r w:rsidR="00BD0981">
      <w:t>7</w:t>
    </w:r>
    <w:r w:rsidR="00A9055B">
      <w:t xml:space="preserve">   </w:t>
    </w:r>
    <w:r w:rsidR="00C83E81">
      <w:rPr>
        <w:u w:val="single"/>
      </w:rPr>
      <w:t>Community Futures Grande Prairie &amp; Region</w:t>
    </w:r>
    <w:r w:rsidR="00903BAE" w:rsidRPr="00903BAE">
      <w:rPr>
        <w:rFonts w:cs="Arial"/>
        <w:b/>
        <w:sz w:val="20"/>
        <w:szCs w:val="20"/>
      </w:rPr>
      <w:t xml:space="preserve"> </w:t>
    </w:r>
  </w:p>
  <w:p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3"/>
  </w:num>
  <w:num w:numId="5">
    <w:abstractNumId w:val="10"/>
  </w:num>
  <w:num w:numId="6">
    <w:abstractNumId w:val="13"/>
  </w:num>
  <w:num w:numId="7">
    <w:abstractNumId w:val="7"/>
  </w:num>
  <w:num w:numId="8">
    <w:abstractNumId w:val="5"/>
  </w:num>
  <w:num w:numId="9">
    <w:abstractNumId w:val="4"/>
  </w:num>
  <w:num w:numId="10">
    <w:abstractNumId w:val="9"/>
  </w:num>
  <w:num w:numId="11">
    <w:abstractNumId w:val="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3A"/>
    <w:rsid w:val="000032F8"/>
    <w:rsid w:val="00042B8D"/>
    <w:rsid w:val="000A68DF"/>
    <w:rsid w:val="000F1E3F"/>
    <w:rsid w:val="00124D7E"/>
    <w:rsid w:val="00136C60"/>
    <w:rsid w:val="00164DFE"/>
    <w:rsid w:val="001A0388"/>
    <w:rsid w:val="001A55FE"/>
    <w:rsid w:val="001A5D7A"/>
    <w:rsid w:val="001F63A6"/>
    <w:rsid w:val="00204964"/>
    <w:rsid w:val="0022039D"/>
    <w:rsid w:val="002733B9"/>
    <w:rsid w:val="002B1845"/>
    <w:rsid w:val="002F0A60"/>
    <w:rsid w:val="00305D11"/>
    <w:rsid w:val="00326C17"/>
    <w:rsid w:val="00370843"/>
    <w:rsid w:val="00387C16"/>
    <w:rsid w:val="003B364D"/>
    <w:rsid w:val="003D46F2"/>
    <w:rsid w:val="003D6046"/>
    <w:rsid w:val="003E2596"/>
    <w:rsid w:val="00435FD8"/>
    <w:rsid w:val="004707C8"/>
    <w:rsid w:val="00476214"/>
    <w:rsid w:val="004E0068"/>
    <w:rsid w:val="00524D65"/>
    <w:rsid w:val="00535C65"/>
    <w:rsid w:val="0056519D"/>
    <w:rsid w:val="005C3625"/>
    <w:rsid w:val="0061366E"/>
    <w:rsid w:val="0063129F"/>
    <w:rsid w:val="00637BD2"/>
    <w:rsid w:val="006C2CCB"/>
    <w:rsid w:val="006C565E"/>
    <w:rsid w:val="006C618A"/>
    <w:rsid w:val="006F5326"/>
    <w:rsid w:val="00716865"/>
    <w:rsid w:val="00716BF1"/>
    <w:rsid w:val="0074505F"/>
    <w:rsid w:val="00790628"/>
    <w:rsid w:val="00855202"/>
    <w:rsid w:val="00876ADF"/>
    <w:rsid w:val="008835BB"/>
    <w:rsid w:val="008B0CCB"/>
    <w:rsid w:val="008F7F84"/>
    <w:rsid w:val="00903BAE"/>
    <w:rsid w:val="0090536B"/>
    <w:rsid w:val="009212B6"/>
    <w:rsid w:val="009F415F"/>
    <w:rsid w:val="00A57ABB"/>
    <w:rsid w:val="00A9055B"/>
    <w:rsid w:val="00B069C6"/>
    <w:rsid w:val="00B3074E"/>
    <w:rsid w:val="00B65BB9"/>
    <w:rsid w:val="00B86B60"/>
    <w:rsid w:val="00BB1612"/>
    <w:rsid w:val="00BD0981"/>
    <w:rsid w:val="00BE6567"/>
    <w:rsid w:val="00C7787C"/>
    <w:rsid w:val="00C83E81"/>
    <w:rsid w:val="00C85229"/>
    <w:rsid w:val="00CC123A"/>
    <w:rsid w:val="00CE1F1B"/>
    <w:rsid w:val="00D011D2"/>
    <w:rsid w:val="00D27BC2"/>
    <w:rsid w:val="00D67217"/>
    <w:rsid w:val="00E351D5"/>
    <w:rsid w:val="00E514E4"/>
    <w:rsid w:val="00E72307"/>
    <w:rsid w:val="00E81EA2"/>
    <w:rsid w:val="00E9578A"/>
    <w:rsid w:val="00EA5673"/>
    <w:rsid w:val="00EC74F0"/>
    <w:rsid w:val="00F019C9"/>
    <w:rsid w:val="00F105C2"/>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BA136"/>
  <w15:docId w15:val="{6FCCF29B-CA83-4014-98A3-66EB20D1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B541-E8F2-4826-95BA-2A10B420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Holly Sorgen</cp:lastModifiedBy>
  <cp:revision>2</cp:revision>
  <dcterms:created xsi:type="dcterms:W3CDTF">2017-06-30T20:44:00Z</dcterms:created>
  <dcterms:modified xsi:type="dcterms:W3CDTF">2017-06-30T20:44:00Z</dcterms:modified>
</cp:coreProperties>
</file>